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30E" w:rsidRPr="009F330E" w:rsidRDefault="009F330E" w:rsidP="009F330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9F330E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2: </w:t>
      </w:r>
    </w:p>
    <w:p w:rsidR="009F330E" w:rsidRPr="009F330E" w:rsidRDefault="009F330E" w:rsidP="009F33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9F330E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Виды угроз информационной безопасности</w:t>
      </w:r>
    </w:p>
    <w:p w:rsidR="009F330E" w:rsidRDefault="009F330E" w:rsidP="009F330E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>
        <w:rPr>
          <w:rStyle w:val="text"/>
          <w:rFonts w:ascii="Tahoma" w:hAnsi="Tahoma" w:cs="Tahoma"/>
          <w:b/>
          <w:bCs/>
          <w:color w:val="494949"/>
          <w:sz w:val="18"/>
          <w:szCs w:val="18"/>
          <w:shd w:val="clear" w:color="auto" w:fill="FFFFFF"/>
        </w:rPr>
        <w:t>Аннотация: </w:t>
      </w:r>
      <w: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  <w:t>В лекции приводятся виды угроз информационной безопасности, классификация источников угроз и защищаемой информации.</w:t>
      </w:r>
    </w:p>
    <w:p w:rsidR="009F330E" w:rsidRPr="009F330E" w:rsidRDefault="009F330E" w:rsidP="009F330E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9F330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Виды угроз информационной безопасности и классификация источников угроз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Угрозы возникают из противоречий экономических интересов различных элементов, взаимодействующих как внутри, так и вне социально-экономической системы — в том числе и в информационной сфере. Они и определяют содержание и направления деятельности </w:t>
      </w:r>
      <w:bookmarkStart w:id="0" w:name="keyword1"/>
      <w:bookmarkEnd w:id="0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обеспечению общей и информационной безопасности. Следует отметить, что </w:t>
      </w:r>
      <w:bookmarkStart w:id="1" w:name="keyword2"/>
      <w:bookmarkEnd w:id="1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анализ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проблем экономической безопасности необходимо проводить, учитывая взаимосвязи экономических противоречий, угроз и потерь, к которым может приводить реализация угроз. Такой </w:t>
      </w:r>
      <w:bookmarkStart w:id="2" w:name="keyword3"/>
      <w:bookmarkEnd w:id="2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анализ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приводит к следующей цепочке: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&lt;</w:t>
      </w:r>
      <w:bookmarkStart w:id="3" w:name="keyword4"/>
      <w:bookmarkEnd w:id="3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источник угрозы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(внешняя и/или внутренняя среда предприятия)&gt;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&lt;зона риска (сфера экономической деятельности предприятия, способы её реализации, материальные и информационные ресурсы)&gt;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&lt;фактор (степень уязвимости данных, информации, программного обеспечения, компьютерных и телекоммуникационных устройств, материальных и финансовых ресурсов, персонала)&gt;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&lt;</w:t>
      </w:r>
      <w:bookmarkStart w:id="4" w:name="keyword5"/>
      <w:bookmarkEnd w:id="4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угроза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(вид, величина, направление)&gt;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&lt;возможность её реализации (предпосылки, </w:t>
      </w:r>
      <w:bookmarkStart w:id="5" w:name="keyword6"/>
      <w:bookmarkEnd w:id="5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объект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способ действия, скорость и временной </w:t>
      </w:r>
      <w:bookmarkStart w:id="6" w:name="keyword7"/>
      <w:bookmarkEnd w:id="6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интервал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действия)&gt;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&lt;последствия (материальный </w:t>
      </w:r>
      <w:bookmarkStart w:id="7" w:name="keyword8"/>
      <w:bookmarkEnd w:id="7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ущерб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моральный вред, </w:t>
      </w:r>
      <w:bookmarkStart w:id="8" w:name="keyword9"/>
      <w:bookmarkEnd w:id="8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размер ущерба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вреда, возможность компенсации)&gt;.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Угрозу отождествляют обычно либо с характером (видом, способом) дестабилизирующего воздействия на материальные объекты, </w:t>
      </w:r>
      <w:bookmarkStart w:id="9" w:name="keyword10"/>
      <w:bookmarkEnd w:id="9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программные средства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информацию, либо с последствиями (результатами) такого воздействия.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 правовой точки зрения понятие </w:t>
      </w:r>
      <w:bookmarkStart w:id="10" w:name="keyword11"/>
      <w:bookmarkEnd w:id="10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угроза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жестко связано с юридической категорией </w:t>
      </w:r>
      <w:bookmarkStart w:id="11" w:name="keyword12"/>
      <w:bookmarkEnd w:id="11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ущерб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которую Гражданский Кодекс РФ (часть I, ст. 15) определяет как "фактические </w:t>
      </w:r>
      <w:bookmarkStart w:id="12" w:name="keyword13"/>
      <w:bookmarkEnd w:id="12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расходы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понесенные субъектом в результате нарушения его прав (например, кражи, разглашения или использования нарушителем конфиденциальной информации), утраты или повреждения имущества, а также </w:t>
      </w:r>
      <w:bookmarkStart w:id="13" w:name="keyword14"/>
      <w:bookmarkEnd w:id="13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расходы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он должен будет произвести для восстановления нарушенного </w:t>
      </w:r>
      <w:bookmarkStart w:id="14" w:name="keyword15"/>
      <w:bookmarkEnd w:id="14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права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стоимости поврежденного или утраченного имущества".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5" w:name="keyword16"/>
      <w:bookmarkEnd w:id="15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Анализ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негативных последствий возникновения и осуществления угроз предполагает обязательную идентификацию возможных источников угроз, уязвимостей, способствующих их проявлению и методов реализации. В связи с этим угрозы экономической и информационной безопасности необходимо классифицировать с тем, чтобы наиболее полно и адекватно проводить указанную идентификацию: </w:t>
      </w:r>
      <w:bookmarkStart w:id="16" w:name="keyword17"/>
      <w:bookmarkEnd w:id="16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источнику угрозы, </w:t>
      </w:r>
      <w:bookmarkStart w:id="17" w:name="keyword18"/>
      <w:bookmarkEnd w:id="17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природе возникновения, </w:t>
      </w:r>
      <w:bookmarkStart w:id="18" w:name="keyword19"/>
      <w:bookmarkEnd w:id="18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вероятности реализации, </w:t>
      </w:r>
      <w:bookmarkStart w:id="19" w:name="keyword20"/>
      <w:bookmarkEnd w:id="19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отношению к виду человеческой деятельности, </w:t>
      </w:r>
      <w:bookmarkStart w:id="20" w:name="keyword21"/>
      <w:bookmarkEnd w:id="20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объекту посягательства, </w:t>
      </w:r>
      <w:bookmarkStart w:id="21" w:name="keyword22"/>
      <w:bookmarkEnd w:id="21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последствиям, </w:t>
      </w:r>
      <w:bookmarkStart w:id="22" w:name="keyword23"/>
      <w:bookmarkEnd w:id="22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возможностям прогнозирования.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Угрозы можно классифицировать </w:t>
      </w:r>
      <w:bookmarkStart w:id="23" w:name="keyword24"/>
      <w:bookmarkEnd w:id="23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нескольким критериям:</w:t>
      </w:r>
    </w:p>
    <w:p w:rsidR="009F330E" w:rsidRPr="009F330E" w:rsidRDefault="009F330E" w:rsidP="009F330E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 важнейшим составляющим информационной безопасности (доступность, целостность, конфиденциальность), против которых направлены угрозы в первую очередь;</w:t>
      </w:r>
    </w:p>
    <w:p w:rsidR="009F330E" w:rsidRPr="009F330E" w:rsidRDefault="009F330E" w:rsidP="009F330E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по компонентам информационных систем и технологий (данные, программно-аппаратные комплексы, сети, поддерживающая инфраструктура), на которые угрозы непосредственно нацелены;</w:t>
      </w:r>
    </w:p>
    <w:p w:rsidR="009F330E" w:rsidRPr="009F330E" w:rsidRDefault="009F330E" w:rsidP="009F330E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 способу осуществления (случайные или преднамеренные действия, события техногенного или природного масштаба);</w:t>
      </w:r>
    </w:p>
    <w:p w:rsidR="009F330E" w:rsidRPr="009F330E" w:rsidRDefault="009F330E" w:rsidP="009F330E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 локализации источника угроз (вне или внутри информационной технологии или системы).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Одна из возможных моделей классификации угроз представлена на </w:t>
      </w:r>
      <w:hyperlink r:id="rId5" w:anchor="image.2.1" w:history="1">
        <w:r w:rsidRPr="009F330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2.1</w:t>
        </w:r>
      </w:hyperlink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[Вихорев, С., Кобцев Р., 2002].</w:t>
      </w:r>
    </w:p>
    <w:p w:rsidR="009F330E" w:rsidRPr="009F330E" w:rsidRDefault="009F330E" w:rsidP="009F33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4" w:name="image.2.1"/>
      <w:bookmarkEnd w:id="24"/>
      <w:r w:rsidRPr="009F330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07F5501" wp14:editId="432163C9">
            <wp:extent cx="4158615" cy="2067560"/>
            <wp:effectExtent l="0" t="0" r="0" b="8890"/>
            <wp:docPr id="1" name="Рисунок 1" descr="Модель возможных угроз системе информационной безопасности и основные классы методов защ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возможных угроз системе информационной безопасности и основные классы методов защи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0E" w:rsidRPr="009F330E" w:rsidRDefault="009F330E" w:rsidP="009F33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9F33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2.1. 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Модель возможных угроз системе информационной безопасности и основные классы методов защиты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ходе анализа необходимо убедиться, что большинство возможных источников угроз и уязвимости идентифицированы и сопоставлены друг с другом, а всем идентифицированным источникам угроз и уязвимостям сопоставлены методы их нейтрализации и устранения.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Указанная классификация может служить основой для выработки методики оценки актуальности той или иной угрозы, и при обнаружении наиболее актуальных угроз могут приниматься меры </w:t>
      </w:r>
      <w:bookmarkStart w:id="25" w:name="keyword25"/>
      <w:bookmarkEnd w:id="25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выбору методов и средств для их предотвращения или нейтрализации.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выявлении актуальных угроз экспертно-аналитическим методом определяются объекты защиты, подверженные воздействию той или иной угрозы, характерные источники этих угроз и уязвимости, способствующие реализации угроз.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основании анализа составляется </w:t>
      </w:r>
      <w:bookmarkStart w:id="26" w:name="keyword26"/>
      <w:bookmarkEnd w:id="26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матрица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взаимосвязи источников угроз и уязвимостей, из которой определяются возможные последствия реализации угроз (атаки) и вычисляется коэффициент значимости (степени опасности) этих атак как </w:t>
      </w:r>
      <w:bookmarkStart w:id="27" w:name="keyword27"/>
      <w:bookmarkEnd w:id="27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произведение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коэффициентов опасности соответствующих угроз и источников угроз, определенных ранее.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Один из возможных алгоритмов проведения такого анализа, который легко формализуется и алгоритмизируется, показан на </w:t>
      </w:r>
      <w:hyperlink r:id="rId7" w:anchor="image.2.2" w:history="1">
        <w:r w:rsidRPr="009F330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2.2</w:t>
        </w:r>
      </w:hyperlink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9F330E" w:rsidRPr="009F330E" w:rsidRDefault="009F330E" w:rsidP="009F33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8" w:name="image.2.2"/>
      <w:bookmarkEnd w:id="28"/>
      <w:r w:rsidRPr="009F330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3FECE121" wp14:editId="14614063">
            <wp:extent cx="4031615" cy="4476750"/>
            <wp:effectExtent l="0" t="0" r="6985" b="0"/>
            <wp:docPr id="2" name="Рисунок 2" descr="Алгоритм проведения анализа и оценки уг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горитм проведения анализа и оценки угро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0E" w:rsidRPr="009F330E" w:rsidRDefault="009F330E" w:rsidP="009F33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9F33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2.2. 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Алгоритм проведения анализа и оценки угроз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Благодаря такому подходу возможно: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установить приоритеты целей безопасности для субъекта отношений;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перечень актуальных источников угроз;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перечень актуальных уязвимостей;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оценить взаимосвязь уязвимостей, источников угроз, возможности их осуществления;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перечень возможных атак на объект;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разработать сценарии возможных атак;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описать возможные последствия реализации угроз;</w:t>
      </w:r>
    </w:p>
    <w:p w:rsidR="009F330E" w:rsidRPr="009F330E" w:rsidRDefault="009F330E" w:rsidP="009F330E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разработать комплекс защитных мер и систему управления экономической и информационной безопасностью предприятия.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Выше было отмечено, что самыми частыми и самыми опасными (с точки зрения размера ущерба) являются непреднамеренные ошибки штатных пользователей, операторов, системных администраторов и других лиц, обслуживающих </w:t>
      </w:r>
      <w:bookmarkStart w:id="29" w:name="keyword28"/>
      <w:bookmarkEnd w:id="29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информационные системы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Иногда такие ошибки и являются собственно угрозами (неправильно введенные данные или ошибка в программе, вызвавшая крах системы), иногда они создают уязвимые места, которыми могут воспользоваться злоумышленники (таковы обычно ошибки администрирования). </w:t>
      </w:r>
      <w:bookmarkStart w:id="30" w:name="keyword29"/>
      <w:bookmarkEnd w:id="30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некоторым данным, до 65% потерь возникают из-за непреднамеренных ошибок, совершенных </w:t>
      </w:r>
      <w:bookmarkStart w:id="31" w:name="keyword30"/>
      <w:bookmarkEnd w:id="31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неосторожности, халатности или несоответствующей подготовки персонала.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Обычно пользователи могут быть источниками следующих угроз:</w:t>
      </w:r>
    </w:p>
    <w:p w:rsidR="009F330E" w:rsidRPr="009F330E" w:rsidRDefault="009F330E" w:rsidP="009F330E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намеренная (встраивание логической бомбы, которая со временем разрушит программное ядро или приложения) или непреднамеренная потеря или искажение данных и информации, "взлом" системы администрирования, кража данных и паролей, передача их посторонним лицам и т.д.;</w:t>
      </w:r>
    </w:p>
    <w:p w:rsidR="009F330E" w:rsidRPr="009F330E" w:rsidRDefault="009F330E" w:rsidP="009F330E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нежелание пользователя работать с информационной системой (чаще всего проявляется при необходимости осваивать новые возможности или при расхождении между запросами пользователей и фактическими возможностями и техническими характеристиками) и намеренный вывод из строя её программно-аппаратных устройств;</w:t>
      </w:r>
    </w:p>
    <w:p w:rsidR="009F330E" w:rsidRPr="009F330E" w:rsidRDefault="009F330E" w:rsidP="009F330E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невозможность работать с системой в силу отсутствия соответствующей подготовки (недостаток общей компьютерной грамотности, неумение интерпретировать диагностические сообщения, неумение работать с документацией и т. п.).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Очевидно, что эффективный способ борьбы с непреднамеренными ошибками — максимальная </w:t>
      </w:r>
      <w:bookmarkStart w:id="32" w:name="keyword31"/>
      <w:bookmarkEnd w:id="32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автоматизация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стандартизация, информационных процессов, использование устройств "защита от дурака" (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Fool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3" w:name="keyword32"/>
      <w:bookmarkEnd w:id="33"/>
      <w:proofErr w:type="spellStart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Proof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4" w:name="keyword33"/>
      <w:bookmarkEnd w:id="34"/>
      <w:proofErr w:type="spellStart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Device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регламентация и строгий </w:t>
      </w:r>
      <w:bookmarkStart w:id="35" w:name="keyword34"/>
      <w:bookmarkEnd w:id="35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контроль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действий пользователей. Необходимо также следить за тем, чтобы при увольнении сотрудника его </w:t>
      </w:r>
      <w:bookmarkStart w:id="36" w:name="keyword35"/>
      <w:bookmarkEnd w:id="36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права доступа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(логического и физического) к информационным ресурсам аннулировались.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Основными источниками внутренних системных отказов являются:</w:t>
      </w:r>
    </w:p>
    <w:p w:rsidR="009F330E" w:rsidRPr="009F330E" w:rsidRDefault="009F330E" w:rsidP="009F330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невозможность работать с системой в силу отсутствия технической поддержки (неполнота документации, недостаток справочной информации и т. п.);</w:t>
      </w:r>
    </w:p>
    <w:p w:rsidR="009F330E" w:rsidRPr="009F330E" w:rsidRDefault="009F330E" w:rsidP="009F330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отступление (случайное или умышленное) от установленных правил эксплуатации;</w:t>
      </w:r>
    </w:p>
    <w:p w:rsidR="009F330E" w:rsidRPr="009F330E" w:rsidRDefault="009F330E" w:rsidP="009F330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выход системы из штатного режима эксплуатации в силу случайных или преднамеренных действий пользователей или обслуживающего персонала (превышение расчетного числа запросов, чрезмерный объем обрабатываемой информации и т. п.);</w:t>
      </w:r>
    </w:p>
    <w:p w:rsidR="009F330E" w:rsidRPr="009F330E" w:rsidRDefault="009F330E" w:rsidP="009F330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ошибки конфигурирования системы;</w:t>
      </w:r>
    </w:p>
    <w:p w:rsidR="009F330E" w:rsidRPr="009F330E" w:rsidRDefault="009F330E" w:rsidP="009F330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отказы программного и аппаратного обеспечения;</w:t>
      </w:r>
    </w:p>
    <w:p w:rsidR="009F330E" w:rsidRPr="009F330E" w:rsidRDefault="009F330E" w:rsidP="009F330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разрушение данных;</w:t>
      </w:r>
    </w:p>
    <w:p w:rsidR="009F330E" w:rsidRPr="009F330E" w:rsidRDefault="009F330E" w:rsidP="009F330E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разрушение или повреждение аппаратуры.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7" w:name="keyword36"/>
      <w:bookmarkEnd w:id="37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отношению к поддерживающей инфраструктуре рекомендуется рассматривать следующие угрозы:</w:t>
      </w:r>
    </w:p>
    <w:p w:rsidR="009F330E" w:rsidRPr="009F330E" w:rsidRDefault="009F330E" w:rsidP="009F330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нарушение работы (случайное или умышленное) систем связи, электропитания, водо- и/или теплоснабжения, кондиционирования;</w:t>
      </w:r>
    </w:p>
    <w:p w:rsidR="009F330E" w:rsidRPr="009F330E" w:rsidRDefault="009F330E" w:rsidP="009F330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разрушение или повреждение помещений;</w:t>
      </w:r>
    </w:p>
    <w:p w:rsidR="009F330E" w:rsidRPr="009F330E" w:rsidRDefault="009F330E" w:rsidP="009F330E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невозможность или нежелание обслуживающего персонала и/или пользователей выполнять свои обязанности (гражданские беспорядки, аварии на транспорте, террористический акт или его угроза, забастовка и т. п.).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Опасны, разумеется, </w:t>
      </w:r>
      <w:bookmarkStart w:id="38" w:name="keyword37"/>
      <w:bookmarkEnd w:id="38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стихийные бедствия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(наводнения, землетрясения, ураганы) и события, являющиеся результатом техногенных катастроф (пожары, взрывы, обрушения зданий и т.д.). </w:t>
      </w:r>
      <w:bookmarkStart w:id="39" w:name="keyword38"/>
      <w:bookmarkEnd w:id="39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статистике, на долю огня, воды и тому подобных "злоумышленников" (среди которых самый опасный — сбой электропитания) приходится 13-15% потерь, нанесенных производственным информационным системам и ресурсам.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Результаты проведения оценки и анализа могут быть использованы при выборе адекватных оптимальных методов парирования угроз, а также при аудите реального состояния информационной безопасности объекта.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создания оптимальной системы информационной безопасности предприятия необходимо грамотно оценить ситуацию, выявить возможные риски, разработать концепцию и политику безопасности, на основе которых строится модель системы и вырабатываются соответствующие </w:t>
      </w:r>
      <w:bookmarkStart w:id="40" w:name="keyword39"/>
      <w:bookmarkEnd w:id="40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механизмы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реализации и функционирования.</w:t>
      </w:r>
    </w:p>
    <w:p w:rsidR="009F330E" w:rsidRPr="009F330E" w:rsidRDefault="009F330E" w:rsidP="009F330E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9F330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Основные виды защищаемой информации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Любое предприятие, получающее ресурсы, в том числе и информационные, перерабатывает их в продукты своей деятельности. При этом оно порождает специфическую внутреннюю среду, которая формируется совокупностью структурных подразделений, персоналом, техническими средствами и технологическими процессами, экономическими и социальными отношениями как внутри предприятия, так и во взаимодействии с внешней средой.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Совокупность внешней и внутренней информации, обслуживающие системы и технологии, ИТ-специалисты и персонал ИТ-подразделений составляют информационно-технологический </w:t>
      </w:r>
      <w:bookmarkStart w:id="41" w:name="keyword40"/>
      <w:bookmarkEnd w:id="41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ресурс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42" w:name="keyword41"/>
      <w:bookmarkEnd w:id="42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Information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&amp; </w:t>
      </w:r>
      <w:bookmarkStart w:id="43" w:name="keyword42"/>
      <w:bookmarkEnd w:id="43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Technology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4" w:name="keyword43"/>
      <w:bookmarkEnd w:id="44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Resource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ITR) современного предприятия.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Внутри предприятия информационные потоки поступают в соответствующие модули корпоративной системы для структурирования, систематизации, обработки, анализа и практического использования. Большая часть этой информации является свободно используемой в процессе реализации деятельности государственного или коммерческого предприятия, однако в зависимости от особенностей внутренней деятельности и взаимодействия с внешним миром часть информации может быть "для служебного пользования", "строго конфиденциальной" или "секретной". Такая </w:t>
      </w:r>
      <w:bookmarkStart w:id="45" w:name="keyword44"/>
      <w:bookmarkEnd w:id="45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информация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является, как правило, "закрытой" и требует соответствующих мер защиты (</w:t>
      </w:r>
      <w:hyperlink r:id="rId9" w:anchor="image.2.3" w:history="1">
        <w:r w:rsidRPr="009F330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2.3</w:t>
        </w:r>
      </w:hyperlink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коммерческих компаний используются достаточно простые категории и виды информации (</w:t>
      </w:r>
      <w:hyperlink r:id="rId10" w:anchor="table.1" w:history="1">
        <w:r w:rsidRPr="009F330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табл. 1</w:t>
        </w:r>
      </w:hyperlink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hyperlink r:id="rId11" w:anchor="table.2" w:history="1">
        <w:r w:rsidRPr="009F330E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табл. 2</w:t>
        </w:r>
      </w:hyperlink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9F330E" w:rsidRPr="009F330E" w:rsidRDefault="009F330E" w:rsidP="009F33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6" w:name="image.2.3"/>
      <w:bookmarkEnd w:id="46"/>
      <w:r w:rsidRPr="009F330E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2228731E" wp14:editId="3D1748C4">
            <wp:extent cx="3554095" cy="5764530"/>
            <wp:effectExtent l="0" t="0" r="8255" b="7620"/>
            <wp:docPr id="3" name="Рисунок 3" descr="Общая классификация охраняемо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ая классификация охраняемо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0E" w:rsidRPr="009F330E" w:rsidRDefault="009F330E" w:rsidP="009F33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9F33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2.3. 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Общая классификация охраняемой информации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Однако в любом случае статус определенного вида информации должен быть закреплен в соответствующем нормативном документе </w:t>
      </w:r>
      <w:bookmarkStart w:id="47" w:name="keyword45"/>
      <w:bookmarkEnd w:id="47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безопасности и известен всем участникам управленческой, организационной и производственной деятельности.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Для обеспечения безопасности при работе с охраняемой информацией следует, во-первых, выстроить политику работы с конфиденциальной и служебной информацией, разработать и издать соответствующие политики, руководства и процедуры и, во-вторых, обеспечить необходимые программно-аппаратные ресурсы.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Первый шаг — это введение коммерческой тайны в соответствии с федеральным законом N 98-ФЗ "О коммерческой тайне" . Положение о коммерческой тайне разрабатывается департаментом (отделом) информационной безопасности предприятия и вводится приказом генерального директора.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Примерная процедура документирования состоит из разработки и использования следующих документов:</w:t>
      </w:r>
    </w:p>
    <w:p w:rsidR="009F330E" w:rsidRPr="009F330E" w:rsidRDefault="009F330E" w:rsidP="009F330E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положение о коммерческой тайне;</w:t>
      </w:r>
    </w:p>
    <w:p w:rsidR="009F330E" w:rsidRPr="009F330E" w:rsidRDefault="009F330E" w:rsidP="009F330E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приказ генерального директора о введении коммерческой тайны в компании;</w:t>
      </w:r>
    </w:p>
    <w:p w:rsidR="009F330E" w:rsidRPr="009F330E" w:rsidRDefault="009F330E" w:rsidP="009F330E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приказ генерального директора о назначении ответственных за соблюдение коммерческой тайны;</w:t>
      </w:r>
    </w:p>
    <w:p w:rsidR="009F330E" w:rsidRPr="009F330E" w:rsidRDefault="009F330E" w:rsidP="009F330E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перечень сведений, составляющих коммерческую тайну;</w:t>
      </w:r>
    </w:p>
    <w:p w:rsidR="009F330E" w:rsidRPr="009F330E" w:rsidRDefault="009F330E" w:rsidP="009F330E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учет носителей коммерческой тайны (журналы, грифы);</w:t>
      </w:r>
    </w:p>
    <w:p w:rsidR="009F330E" w:rsidRPr="009F330E" w:rsidRDefault="009F330E" w:rsidP="009F330E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приказ генерального директора об ответственности за разглашение или несанкционированную передачу коммерческой тайны.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243"/>
        <w:gridCol w:w="1236"/>
        <w:gridCol w:w="2294"/>
        <w:gridCol w:w="2095"/>
      </w:tblGrid>
      <w:tr w:rsidR="009F330E" w:rsidRPr="009F330E" w:rsidTr="009F330E">
        <w:trPr>
          <w:tblCellSpacing w:w="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48" w:name="table.1"/>
            <w:bookmarkEnd w:id="48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Таблица 1. Категории деловой информации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Раздел классификации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Категория информации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Общедоступная (</w:t>
            </w:r>
            <w:proofErr w:type="spellStart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Public</w:t>
            </w:r>
            <w:proofErr w:type="spellEnd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Открытая информация, при работе с которой нет никаких ограничений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Для служебного пользования (</w:t>
            </w:r>
            <w:proofErr w:type="spellStart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Restricted</w:t>
            </w:r>
            <w:proofErr w:type="spellEnd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Access</w:t>
            </w:r>
            <w:proofErr w:type="spellEnd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Информация ограниченного доступа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Конфиденциальная (</w:t>
            </w:r>
            <w:proofErr w:type="spellStart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Confidential</w:t>
            </w:r>
            <w:proofErr w:type="spellEnd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Конфиденциальная информация, при работе с которой вводятся строгие ограничения в зависимости от уровней допуска пользователя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Персональная (</w:t>
            </w:r>
            <w:proofErr w:type="spellStart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Private</w:t>
            </w:r>
            <w:proofErr w:type="spellEnd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Персональная информация (зарплатная ведомость, адресные и паспортные данные сотрудников, медицинские карточки, ИНН, СПС и пр.)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49" w:name="table.2"/>
            <w:bookmarkEnd w:id="49"/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Таблица 2.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Вид информации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Содержание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Расположение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330E" w:rsidRPr="009F330E" w:rsidRDefault="009F330E" w:rsidP="009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Гриф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Регистрационная, уставная, юридическая, нормативная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Регистрационные и уставные документы, нормативы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Локально, базы данных системы поддержки деятельности руководителей и база юридической подсистемы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Для служебного пользования, конфиденциальная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Плановая, научно-исследовательская и общая производственная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Планы производства, описание технологий, внутренние разработки, стандарты, спецификации, интеллектуальная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Локально, производственные базы данных, файловые серверы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Для служебного пользования, конфиденциальная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Инфраструктурная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Карты и журналы ИТ-инфра-структуры, ИТ-системы, системы доступа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Локально, файловый сервер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Для служебного пользования, конфиденциальная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Финансовые данные и управленческий учёт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Любая бухгалтерская информация, финансовые планы, </w:t>
            </w: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отчеты, балансы, платежные документы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 xml:space="preserve">Локально, база финансовой подсистемы либо </w:t>
            </w: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другая среда работы финансового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Для служебного пользования, конфиденциальная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Кадровая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Личные карточки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Локально, файловый сервер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Для служебного пользования, конфиденциальная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Текущая рабочая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Файлы и документы для внутреннего обмена данными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Общедоступно, общий сервер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Общедоступная, для служебного пользования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Внутрикорпоративная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Приказы, распоряжения, расписания, отчеты собраний проектных групп, документы системы качества (планы, результаты проверок, корректирующие мероприятия)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Общедоступно, общий сервер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Общедоступная, для служебного пользования</w:t>
            </w:r>
          </w:p>
        </w:tc>
      </w:tr>
      <w:tr w:rsidR="009F330E" w:rsidRPr="009F330E" w:rsidTr="009F330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Развлекательная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Фотографии, видеоролики, фильмы, аудиокниги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Общедоступно, общий либо выделенный сервер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330E" w:rsidRPr="009F330E" w:rsidRDefault="009F330E" w:rsidP="009F3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9F330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Общедоступная</w:t>
            </w:r>
          </w:p>
        </w:tc>
      </w:tr>
    </w:tbl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продолжение, необходимо создать набор политик </w:t>
      </w:r>
      <w:bookmarkStart w:id="50" w:name="keyword46"/>
      <w:bookmarkEnd w:id="50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реализации внутренней информационной безопасности:</w:t>
      </w:r>
    </w:p>
    <w:p w:rsidR="009F330E" w:rsidRPr="009F330E" w:rsidRDefault="009F330E" w:rsidP="009F330E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политика информационной безопасности;</w:t>
      </w:r>
    </w:p>
    <w:p w:rsidR="009F330E" w:rsidRPr="009F330E" w:rsidRDefault="009F330E" w:rsidP="009F330E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политика предоставления прав доступа к внутренним и удаленным ресурсам;</w:t>
      </w:r>
    </w:p>
    <w:p w:rsidR="009F330E" w:rsidRPr="009F330E" w:rsidRDefault="009F330E" w:rsidP="009F330E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политика использования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Internet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/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Intranet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9F330E" w:rsidRPr="009F330E" w:rsidRDefault="009F330E" w:rsidP="009F330E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политика использования электронной почты;</w:t>
      </w:r>
    </w:p>
    <w:p w:rsidR="009F330E" w:rsidRPr="009F330E" w:rsidRDefault="009F330E" w:rsidP="009F330E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порядок инвентаризации информационных ресурсов;</w:t>
      </w:r>
    </w:p>
    <w:p w:rsidR="009F330E" w:rsidRPr="009F330E" w:rsidRDefault="009F330E" w:rsidP="009F330E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соглашение о неразглашении данных и информации, составляющих коммерческую тайну и имеющих грифы "конфиденциально" и "для служебного пользования".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Программно-аппаратные средства для работы с охраняемой информацией либо встраиваются в соответствующие модули корпоративной информационной системы (КИС), либо используются локально в системах, оговоренных в политике ИБ. Средства противодействия угрозам ИБ и утечкам данных и информации являются, </w:t>
      </w:r>
      <w:bookmarkStart w:id="51" w:name="keyword47"/>
      <w:bookmarkEnd w:id="51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сути, программно-аппаратным "слоем" между существующей ИТ-инфраструктурой предприятия и корпоративными приложениями, где обрабатываются конфиденциальные данные и с которыми работают сотрудники.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Защитный комплекс состоит не только из технических устройств и </w:t>
      </w:r>
      <w:bookmarkStart w:id="52" w:name="keyword48"/>
      <w:bookmarkEnd w:id="52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но и из совокупности организационных мер </w:t>
      </w:r>
      <w:bookmarkStart w:id="53" w:name="keyword49"/>
      <w:bookmarkEnd w:id="53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реализации политики внутренней безопасности — целостное решение связывает воедино инфраструктуру, информацию и персонал.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таком комплексе сочетаются все важные свойства, характерные для больших вычислительных и сетевых структур:</w:t>
      </w:r>
    </w:p>
    <w:p w:rsidR="009F330E" w:rsidRPr="009F330E" w:rsidRDefault="009F330E" w:rsidP="009F330E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многопоточность (по нескольким процессам на одном процессоре, по нескольким процессорам на одном сервере, распределение сложных задач обеспечения контроля и безопасности по разным серверам, использование вычислительных кластеров);</w:t>
      </w:r>
    </w:p>
    <w:p w:rsidR="009F330E" w:rsidRPr="009F330E" w:rsidRDefault="009F330E" w:rsidP="009F330E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физическое разделение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on-line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off-line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функций;</w:t>
      </w:r>
    </w:p>
    <w:p w:rsidR="009F330E" w:rsidRPr="009F330E" w:rsidRDefault="009F330E" w:rsidP="009F330E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повсеместная кластеризация и масштабирование, возможность выстраивать распределенные защитные схемы, располагая мониторинг в филиалах, а единое хранилище в главном офисе;</w:t>
      </w:r>
    </w:p>
    <w:p w:rsidR="009F330E" w:rsidRPr="009F330E" w:rsidRDefault="009F330E" w:rsidP="009F330E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возможность мониторинга всех каналов с помощью одной базы контентной фильтрации и единого журнала учёта доступа пользователей.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Такие целостные программные продукты осуществляют </w:t>
      </w:r>
      <w:bookmarkStart w:id="54" w:name="keyword50"/>
      <w:bookmarkEnd w:id="54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контроль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bookmarkStart w:id="55" w:name="keyword51"/>
      <w:bookmarkEnd w:id="55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управление рисками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внутренней безопасности и минимизируют утечки конфиденциальной информации, за счет соответствующих технологических составляющих, глубоко интегрированных в информационную структуру предприятия. К ним относятся программно-аппаратные устройства, осуществляющие:</w:t>
      </w:r>
    </w:p>
    <w:p w:rsidR="009F330E" w:rsidRPr="009F330E" w:rsidRDefault="009F330E" w:rsidP="009F330E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отслеживание перемещения конфиденциальной информации по информационной системе (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Data-in-Shell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9F330E" w:rsidRPr="009F330E" w:rsidRDefault="009F330E" w:rsidP="009F330E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управление контролем утечки данных через сетевой трафик по протоколам TCP/IP, SMTP, HTTP(s), IM (ICQ, AOL, MSN), FTP, SQL, собственных протоколов посредством контентной фильтрации на уровне:</w:t>
      </w:r>
    </w:p>
    <w:p w:rsidR="009F330E" w:rsidRPr="009F330E" w:rsidRDefault="009F330E" w:rsidP="009F330E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шлюза, через которые идет трафик из внутренней сети во внешнюю сеть (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Data-in-Motion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9F330E" w:rsidRPr="009F330E" w:rsidRDefault="009F330E" w:rsidP="009F330E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сервера, обрабатывающего определенный тип трафика (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Data-at-Rest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9F330E" w:rsidRPr="009F330E" w:rsidRDefault="009F330E" w:rsidP="009F330E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рабочей станции (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Data-in-Use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9F330E" w:rsidRPr="009F330E" w:rsidRDefault="009F330E" w:rsidP="009F330E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внутренних каналов почты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Exchange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Lotus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Notes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др.</w:t>
      </w:r>
    </w:p>
    <w:p w:rsidR="009F330E" w:rsidRPr="009F330E" w:rsidRDefault="009F330E" w:rsidP="009F330E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управление контролем утечки охраняемой информации с рабочих станций, периферийных и мобильных устройств посредством контроля действий авторизованных пользователей с конфиденциальными данными: с файлами, внешними устройствами, сетью (локальной, беспроводной), буфером обмена, приложениями, устройств печати (локальные, сетевые);</w:t>
      </w:r>
    </w:p>
    <w:p w:rsidR="009F330E" w:rsidRPr="009F330E" w:rsidRDefault="009F330E" w:rsidP="009F330E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установление </w:t>
      </w:r>
      <w:proofErr w:type="spellStart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проактивной</w:t>
      </w:r>
      <w:proofErr w:type="spellEnd"/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защиты и персональных сетевых экранов;</w:t>
      </w:r>
    </w:p>
    <w:p w:rsidR="009F330E" w:rsidRPr="009F330E" w:rsidRDefault="009F330E" w:rsidP="009F330E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теневое копирование информационных объектов в единую базу контентной фильтрации для всех каналов по единым правилам для всех каналов.</w:t>
      </w:r>
    </w:p>
    <w:p w:rsidR="009F330E" w:rsidRPr="009F330E" w:rsidRDefault="009F330E" w:rsidP="009F330E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Грамотно организовать защиту охраняемых данных и информации непросто и недёшево. Для этого нужно произвести классификацию данных, тщательную инвентаризацию информационных ресурсов, выбрать адекватное программно-аппаратное решение, разработать и внедрить совокупность регламентирующих документы внутренней безопасности. Главную роль в этой непростой работе </w:t>
      </w:r>
      <w:bookmarkStart w:id="56" w:name="keyword52"/>
      <w:bookmarkEnd w:id="56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минимизации рисков утечки данных играют компетентность и воля высшего руководства предприятия, актуальные политики и эффективные </w:t>
      </w:r>
      <w:bookmarkStart w:id="57" w:name="keyword53"/>
      <w:bookmarkEnd w:id="57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программные средства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также </w:t>
      </w:r>
      <w:bookmarkStart w:id="58" w:name="keyword54"/>
      <w:bookmarkEnd w:id="58"/>
      <w:r w:rsidRPr="009F330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режим коммерческой тайны</w:t>
      </w:r>
      <w:r w:rsidRPr="009F330E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работе с охраняемой информацией.</w:t>
      </w:r>
    </w:p>
    <w:p w:rsidR="007F67CC" w:rsidRDefault="007F67CC">
      <w:bookmarkStart w:id="59" w:name="_GoBack"/>
      <w:bookmarkEnd w:id="59"/>
    </w:p>
    <w:sectPr w:rsidR="007F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A55"/>
    <w:multiLevelType w:val="multilevel"/>
    <w:tmpl w:val="11F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3AB1"/>
    <w:multiLevelType w:val="multilevel"/>
    <w:tmpl w:val="A8D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2D10"/>
    <w:multiLevelType w:val="multilevel"/>
    <w:tmpl w:val="E734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54AF0"/>
    <w:multiLevelType w:val="multilevel"/>
    <w:tmpl w:val="41A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576B3"/>
    <w:multiLevelType w:val="multilevel"/>
    <w:tmpl w:val="0D5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10868"/>
    <w:multiLevelType w:val="multilevel"/>
    <w:tmpl w:val="5F4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A56DD"/>
    <w:multiLevelType w:val="multilevel"/>
    <w:tmpl w:val="6926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837E2"/>
    <w:multiLevelType w:val="multilevel"/>
    <w:tmpl w:val="553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A5ED8"/>
    <w:multiLevelType w:val="multilevel"/>
    <w:tmpl w:val="AC1A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E"/>
    <w:rsid w:val="007F67CC"/>
    <w:rsid w:val="009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19F4"/>
  <w15:chartTrackingRefBased/>
  <w15:docId w15:val="{C9D6ECDA-3208-4D03-B8C4-C5CAE0B4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9F330E"/>
  </w:style>
  <w:style w:type="character" w:customStyle="1" w:styleId="spelling-content-entity">
    <w:name w:val="spelling-content-entity"/>
    <w:basedOn w:val="a0"/>
    <w:rsid w:val="009F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uit.ru/studies/professional_skill_improvements/17846/courses/1242/lecture/27498?page=1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uit.ru/studies/professional_skill_improvements/17846/courses/1242/lecture/27498?page=2" TargetMode="External"/><Relationship Id="rId5" Type="http://schemas.openxmlformats.org/officeDocument/2006/relationships/hyperlink" Target="https://intuit.ru/studies/professional_skill_improvements/17846/courses/1242/lecture/27498?page=1" TargetMode="External"/><Relationship Id="rId10" Type="http://schemas.openxmlformats.org/officeDocument/2006/relationships/hyperlink" Target="https://intuit.ru/studies/professional_skill_improvements/17846/courses/1242/lecture/27498?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professional_skill_improvements/17846/courses/1242/lecture/27498?pag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2766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2023-10-11T02:54:00Z</dcterms:created>
  <dcterms:modified xsi:type="dcterms:W3CDTF">2023-10-11T02:59:00Z</dcterms:modified>
</cp:coreProperties>
</file>